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Spacing w:w="0" w:type="dxa"/>
        <w:tblInd w:w="-709" w:type="dxa"/>
        <w:tblLook w:val="0000" w:firstRow="0" w:lastRow="0" w:firstColumn="0" w:lastColumn="0" w:noHBand="0" w:noVBand="0"/>
      </w:tblPr>
      <w:tblGrid>
        <w:gridCol w:w="5387"/>
        <w:gridCol w:w="5103"/>
      </w:tblGrid>
      <w:tr w:rsidR="00CF0E8F" w:rsidRPr="000176AA" w14:paraId="0C5B870B" w14:textId="77777777" w:rsidTr="00205416">
        <w:trPr>
          <w:tblCellSpacing w:w="0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8B76" w14:textId="77777777" w:rsidR="00CF0E8F" w:rsidRDefault="00CF0E8F" w:rsidP="00205416">
            <w:pPr>
              <w:pStyle w:val="tname"/>
              <w:contextualSpacing/>
              <w:mirrorIndents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F3D08D5" w14:textId="77777777" w:rsidR="00CF0E8F" w:rsidRPr="00E612B5" w:rsidRDefault="00CF0E8F" w:rsidP="00CF0E8F">
            <w:pPr>
              <w:pStyle w:val="tname"/>
              <w:contextualSpacing/>
              <w:mirrorIndent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</w:t>
            </w:r>
            <w:r w:rsidRPr="00E612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ДОГОВОР ПОСТАВКИ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</w:t>
            </w:r>
          </w:p>
          <w:p w14:paraId="0388A5F4" w14:textId="77777777" w:rsidR="00CF0E8F" w:rsidRPr="00E612B5" w:rsidRDefault="00CF0E8F" w:rsidP="00205416">
            <w:pPr>
              <w:pStyle w:val="tname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14:paraId="2C533B90" w14:textId="6252BE38" w:rsidR="00CF0E8F" w:rsidRPr="00E612B5" w:rsidRDefault="00CF0E8F" w:rsidP="00205416">
            <w:pPr>
              <w:pStyle w:val="a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г. Брест                                                                                                       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01 ЯНВАРЯ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2B68">
              <w:rPr>
                <w:rFonts w:ascii="Times New Roman" w:hAnsi="Times New Roman"/>
                <w:sz w:val="24"/>
                <w:szCs w:val="24"/>
              </w:rPr>
              <w:t>3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 г.</w:t>
            </w:r>
          </w:p>
          <w:p w14:paraId="1020C674" w14:textId="77777777" w:rsidR="00CF0E8F" w:rsidRPr="00E612B5" w:rsidRDefault="00CF0E8F" w:rsidP="00205416">
            <w:pPr>
              <w:pStyle w:val="a00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FA06" w14:textId="383C3039" w:rsidR="00CF0E8F" w:rsidRPr="00E612B5" w:rsidRDefault="00CF0E8F" w:rsidP="00205416">
            <w:pPr>
              <w:pStyle w:val="a00"/>
              <w:ind w:right="142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____________________________________________________, </w:t>
            </w:r>
            <w:r w:rsidRPr="00E612B5">
              <w:rPr>
                <w:sz w:val="24"/>
                <w:szCs w:val="24"/>
              </w:rPr>
              <w:t>именуем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612B5">
              <w:rPr>
                <w:sz w:val="24"/>
                <w:szCs w:val="24"/>
              </w:rPr>
              <w:t xml:space="preserve"> в дальнейшем «</w:t>
            </w:r>
            <w:r w:rsidRPr="00E612B5">
              <w:rPr>
                <w:sz w:val="24"/>
                <w:szCs w:val="24"/>
                <w:shd w:val="clear" w:color="auto" w:fill="FFFFFF"/>
              </w:rPr>
              <w:t>Поставщик</w:t>
            </w:r>
            <w:r>
              <w:rPr>
                <w:sz w:val="24"/>
                <w:szCs w:val="24"/>
              </w:rPr>
              <w:t>», в лице _________________________________________________________________</w:t>
            </w:r>
            <w:r w:rsidRPr="009F39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действующего на основании ________________________________________ , 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с одной стороны и </w:t>
            </w:r>
            <w:r w:rsidRPr="00E612B5">
              <w:rPr>
                <w:rFonts w:ascii="Times New Roman" w:hAnsi="Times New Roman"/>
                <w:b/>
                <w:sz w:val="24"/>
                <w:szCs w:val="24"/>
              </w:rPr>
              <w:t>Торговое унитарное предприятие «Брестский рынок»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, именуемое в дальнейшем «Покупатель», в лице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заместителя 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Уманской Ольги Анатольевны, действующей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доверенности № 2 от 0</w:t>
            </w:r>
            <w:r w:rsidR="006C2B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6C2B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, с другой стороны, заключили настоящий договор о нижеследующем:</w:t>
            </w:r>
          </w:p>
          <w:p w14:paraId="00A9A6A1" w14:textId="77777777" w:rsidR="00CF0E8F" w:rsidRPr="00E612B5" w:rsidRDefault="00CF0E8F" w:rsidP="00205416">
            <w:pPr>
              <w:pStyle w:val="a3"/>
              <w:tabs>
                <w:tab w:val="center" w:pos="5528"/>
                <w:tab w:val="left" w:pos="7455"/>
              </w:tabs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12B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76A17ED" w14:textId="77777777" w:rsidR="00CF0E8F" w:rsidRPr="009438AE" w:rsidRDefault="00CF0E8F" w:rsidP="00CF0E8F">
            <w:pPr>
              <w:pStyle w:val="a3"/>
              <w:ind w:left="567" w:firstLine="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Предмет договора</w:t>
            </w:r>
          </w:p>
          <w:p w14:paraId="0C24A3BD" w14:textId="77777777" w:rsidR="00CF0E8F" w:rsidRPr="00CF0E8F" w:rsidRDefault="00CF0E8F" w:rsidP="00205416">
            <w:pPr>
              <w:spacing w:line="2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E8F">
              <w:rPr>
                <w:rFonts w:ascii="Times New Roman" w:hAnsi="Times New Roman" w:cs="Times New Roman"/>
              </w:rPr>
              <w:t>1.1. Поставщик обязуется передавать (передать) Покупателю в собственность отходы (вторичное сырье</w:t>
            </w:r>
            <w:r w:rsidRPr="00CF0E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AA30F5" w14:textId="77777777" w:rsidR="00CF0E8F" w:rsidRPr="00F16788" w:rsidRDefault="00CF0E8F" w:rsidP="00205416">
            <w:pPr>
              <w:spacing w:line="280" w:lineRule="atLeas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1276"/>
              <w:gridCol w:w="2382"/>
              <w:gridCol w:w="2589"/>
            </w:tblGrid>
            <w:tr w:rsidR="00CF0E8F" w:rsidRPr="00F16788" w14:paraId="2168B1F5" w14:textId="77777777" w:rsidTr="00205416">
              <w:tc>
                <w:tcPr>
                  <w:tcW w:w="4106" w:type="dxa"/>
                </w:tcPr>
                <w:p w14:paraId="40251E67" w14:textId="77777777"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отхода</w:t>
                  </w:r>
                </w:p>
              </w:tc>
              <w:tc>
                <w:tcPr>
                  <w:tcW w:w="1276" w:type="dxa"/>
                </w:tcPr>
                <w:p w14:paraId="6B0C2D28" w14:textId="77777777"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отхода</w:t>
                  </w:r>
                </w:p>
              </w:tc>
              <w:tc>
                <w:tcPr>
                  <w:tcW w:w="2382" w:type="dxa"/>
                </w:tcPr>
                <w:p w14:paraId="4D2D4C45" w14:textId="77777777"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Степень и класс опасности</w:t>
                  </w:r>
                </w:p>
              </w:tc>
              <w:tc>
                <w:tcPr>
                  <w:tcW w:w="2589" w:type="dxa"/>
                </w:tcPr>
                <w:p w14:paraId="5DD3CCE7" w14:textId="77777777"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Количество, тонн.</w:t>
                  </w:r>
                </w:p>
              </w:tc>
            </w:tr>
            <w:tr w:rsidR="00CF0E8F" w:rsidRPr="00F16788" w14:paraId="40868AE7" w14:textId="77777777" w:rsidTr="00205416">
              <w:tc>
                <w:tcPr>
                  <w:tcW w:w="4106" w:type="dxa"/>
                </w:tcPr>
                <w:p w14:paraId="487FB708" w14:textId="77777777" w:rsidR="00CF0E8F" w:rsidRPr="00CF0E8F" w:rsidRDefault="00CF0E8F" w:rsidP="00CF0E8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F0E8F">
                    <w:rPr>
                      <w:rFonts w:ascii="Times New Roman" w:hAnsi="Times New Roman" w:cs="Times New Roman"/>
                    </w:rPr>
                    <w:t>Отходы бумаги и картона от канцелярской деятельности и делопроизводства</w:t>
                  </w:r>
                </w:p>
              </w:tc>
              <w:tc>
                <w:tcPr>
                  <w:tcW w:w="1276" w:type="dxa"/>
                </w:tcPr>
                <w:p w14:paraId="669D7C21" w14:textId="77777777"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1870601</w:t>
                  </w:r>
                </w:p>
              </w:tc>
              <w:tc>
                <w:tcPr>
                  <w:tcW w:w="2382" w:type="dxa"/>
                </w:tcPr>
                <w:p w14:paraId="42AFF01B" w14:textId="77777777"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четвертый класс</w:t>
                  </w:r>
                </w:p>
              </w:tc>
              <w:tc>
                <w:tcPr>
                  <w:tcW w:w="2589" w:type="dxa"/>
                </w:tcPr>
                <w:p w14:paraId="729B07C8" w14:textId="77777777" w:rsidR="00CF0E8F" w:rsidRPr="00CF0E8F" w:rsidRDefault="00CF0E8F" w:rsidP="00CF0E8F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0E8F" w:rsidRPr="00F16788" w14:paraId="7A71E01E" w14:textId="77777777" w:rsidTr="00205416">
              <w:tc>
                <w:tcPr>
                  <w:tcW w:w="4106" w:type="dxa"/>
                </w:tcPr>
                <w:p w14:paraId="048B9484" w14:textId="77777777" w:rsidR="00CF0E8F" w:rsidRPr="00CF0E8F" w:rsidRDefault="00CF0E8F" w:rsidP="00CF0E8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F0E8F">
                    <w:rPr>
                      <w:rFonts w:ascii="Times New Roman" w:hAnsi="Times New Roman" w:cs="Times New Roman"/>
                    </w:rPr>
                    <w:t>ПЭТ-бутылки</w:t>
                  </w:r>
                </w:p>
              </w:tc>
              <w:tc>
                <w:tcPr>
                  <w:tcW w:w="1276" w:type="dxa"/>
                </w:tcPr>
                <w:p w14:paraId="79CD4233" w14:textId="77777777"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5711400</w:t>
                  </w:r>
                </w:p>
              </w:tc>
              <w:tc>
                <w:tcPr>
                  <w:tcW w:w="2382" w:type="dxa"/>
                </w:tcPr>
                <w:p w14:paraId="52718BD9" w14:textId="77777777"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третий класс</w:t>
                  </w:r>
                </w:p>
              </w:tc>
              <w:tc>
                <w:tcPr>
                  <w:tcW w:w="2589" w:type="dxa"/>
                </w:tcPr>
                <w:p w14:paraId="690EDE45" w14:textId="77777777" w:rsidR="00CF0E8F" w:rsidRPr="00CF0E8F" w:rsidRDefault="00CF0E8F" w:rsidP="00CF0E8F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AFE40B" w14:textId="77777777" w:rsidR="00CF0E8F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CC71A8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1.2. Количество каждой партии указывается в  товарно-транспортной накладной (ТТН-1).</w:t>
            </w:r>
          </w:p>
          <w:p w14:paraId="41311704" w14:textId="77777777" w:rsidR="00CF0E8F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Цель приобретения отхода Покупателем: для подготовки к использованию.</w:t>
            </w:r>
          </w:p>
          <w:p w14:paraId="134CDE41" w14:textId="77777777" w:rsidR="00CF0E8F" w:rsidRDefault="00CF0E8F" w:rsidP="00205416">
            <w:pPr>
              <w:pStyle w:val="a3"/>
              <w:tabs>
                <w:tab w:val="right" w:pos="10490"/>
              </w:tabs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Места временного хранения опасных отходов: г. Брест, ул. Г.Попова.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6F72960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В случае, если до подготовки отходов будет осуществляться их временное хранение, то по адресу  г. Брест, ул. Г.Попова 9Б, ул. Ковельская, 87, ул. Г.Попова, 8, ул. Морозова,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Комерческая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19, ул. Светлая, 27, ул. Республиканская, 33.</w:t>
            </w:r>
          </w:p>
          <w:p w14:paraId="52FAFF79" w14:textId="77777777" w:rsidR="00CF0E8F" w:rsidRDefault="00CF0E8F" w:rsidP="00205416">
            <w:pPr>
              <w:pStyle w:val="a00"/>
              <w:ind w:left="48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02279642" w14:textId="77777777" w:rsidR="00CF0E8F" w:rsidRPr="000176AA" w:rsidRDefault="00CF0E8F" w:rsidP="00CF0E8F">
            <w:pPr>
              <w:pStyle w:val="a00"/>
              <w:ind w:left="48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2. </w:t>
            </w: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Качество, маркировка, упаковка</w:t>
            </w:r>
          </w:p>
          <w:p w14:paraId="43BC1886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2.1. Качество вторичного сырья должно соответствовать действующим ГОСТам и (или) техническим условиям,  предусмотренным законодательством Республики Беларусь. Если качество вторичного сырья окажется не соответствующим п. 2.1 договора, Покупатель вправе отказаться от принятия и оплаты вторичного сырья.</w:t>
            </w:r>
          </w:p>
          <w:p w14:paraId="2205AF84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2.2. Приемка товара по качеству осуществляется по месту нахождения Покупателя, по количеству производится путем взвешивания по месту нахождения Покупателя. При этом основанием  для приемки вторичного сырья является надлежащим образом оформленная товарно-транспортная накладная.</w:t>
            </w:r>
          </w:p>
          <w:p w14:paraId="4F2B1579" w14:textId="77777777" w:rsidR="00CF0E8F" w:rsidRPr="00F764D7" w:rsidRDefault="00CF0E8F" w:rsidP="00CF0E8F">
            <w:pPr>
              <w:pStyle w:val="a0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3. </w:t>
            </w: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Цены и порядок расчетов</w:t>
            </w:r>
          </w:p>
          <w:p w14:paraId="42E3977A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 xml:space="preserve">3.1. Вторичное сырье поставляется и оплачивается </w:t>
            </w:r>
            <w:proofErr w:type="gramStart"/>
            <w:r w:rsidRPr="00E612B5">
              <w:rPr>
                <w:rFonts w:ascii="Times New Roman" w:hAnsi="Times New Roman"/>
                <w:sz w:val="24"/>
                <w:szCs w:val="24"/>
              </w:rPr>
              <w:t>по договорным ценам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действующим на момент поставки партии вторичного сырья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/>
                <w:sz w:val="24"/>
                <w:szCs w:val="24"/>
              </w:rPr>
              <w:t>указываются в спецификациях.</w:t>
            </w:r>
          </w:p>
          <w:p w14:paraId="3036F8F7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 xml:space="preserve">3.2. Расчеты за каждую партию отгруженного вторичного сырья осуществляются Покупателем платежными поручениями в течение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шестидесяти</w:t>
            </w:r>
            <w:r w:rsidRPr="00E612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календарных дней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 с момента поставки.</w:t>
            </w:r>
          </w:p>
          <w:p w14:paraId="47F9E6CF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3.3. Стороны, подписавшие настоящий договор, допускают возможность иных форм расчетов, не противоречащих действующему законодательству.</w:t>
            </w:r>
          </w:p>
          <w:p w14:paraId="59186D30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921AA0C" w14:textId="77777777" w:rsidR="00CF0E8F" w:rsidRDefault="00CF0E8F" w:rsidP="00205416">
            <w:pPr>
              <w:pStyle w:val="a0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4. Порядок и сроки поставки и транспортировки</w:t>
            </w:r>
          </w:p>
          <w:p w14:paraId="3B855F82" w14:textId="77777777" w:rsidR="00CF0E8F" w:rsidRPr="000176AA" w:rsidRDefault="00CF0E8F" w:rsidP="00205416">
            <w:pPr>
              <w:pStyle w:val="a0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06ADCD34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4.1. Поставка вторичного сырья производится партиями, объем которых указывается в соответствующих накладных.</w:t>
            </w:r>
          </w:p>
          <w:p w14:paraId="54A60899" w14:textId="77777777" w:rsidR="00CF0E8F" w:rsidRDefault="00CF0E8F" w:rsidP="00CF0E8F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4.2. Поставка вторичного сырья осуществляется тран</w:t>
            </w:r>
            <w:r>
              <w:rPr>
                <w:rFonts w:ascii="Times New Roman" w:hAnsi="Times New Roman"/>
                <w:sz w:val="24"/>
                <w:szCs w:val="24"/>
              </w:rPr>
              <w:t>спортом Поставщика за его счет.</w:t>
            </w:r>
          </w:p>
          <w:p w14:paraId="00A4C514" w14:textId="77777777" w:rsidR="00CF0E8F" w:rsidRPr="00CB02C5" w:rsidRDefault="00CF0E8F" w:rsidP="00CF0E8F">
            <w:pPr>
              <w:pStyle w:val="a3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 Форс-мажорные обстоятельства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C294E88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5.1. Стороны освобождаются от ответственности за частичное или полное неисполнение условий договора, если оно произошло по обстоятельствам непреодолимой силы, которые сторона не могла предвидеть или предотвратить.</w:t>
            </w:r>
          </w:p>
          <w:p w14:paraId="67B68F12" w14:textId="77777777" w:rsidR="00CF0E8F" w:rsidRPr="00E612B5" w:rsidRDefault="00CF0E8F" w:rsidP="00205416">
            <w:pPr>
              <w:pStyle w:val="a3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Сторона, ссылающаяся на такие обстоятельства, обязана информировать другую сторону не позднее 5 дней с момента их наступления.</w:t>
            </w:r>
          </w:p>
          <w:p w14:paraId="619B9EC5" w14:textId="77777777" w:rsidR="00CF0E8F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 xml:space="preserve">5.2. При возникновении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</w:t>
            </w:r>
          </w:p>
          <w:p w14:paraId="2A26E7B9" w14:textId="77777777" w:rsidR="00CF0E8F" w:rsidRPr="00E612B5" w:rsidRDefault="00CF0E8F" w:rsidP="00205416">
            <w:pPr>
              <w:pStyle w:val="a3"/>
              <w:tabs>
                <w:tab w:val="left" w:pos="3810"/>
              </w:tabs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1947D39" w14:textId="77777777" w:rsidR="00CF0E8F" w:rsidRPr="000176AA" w:rsidRDefault="00CF0E8F" w:rsidP="00CF0E8F">
            <w:pPr>
              <w:pStyle w:val="a0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6. Срок действия договора, расторжение договора, рассмотрение споров</w:t>
            </w:r>
          </w:p>
          <w:p w14:paraId="2894C575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 xml:space="preserve">6.1.  Настоящий договор вступает в силу с момента подписания сторонами и действует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о 31 декабря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67D37F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6.2. Изменение условий договора возможно только по соглашению сторон.</w:t>
            </w:r>
          </w:p>
          <w:p w14:paraId="20299F9B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6.3. Расторжение договора в одностороннем порядке допускается в следующих случаях:</w:t>
            </w:r>
          </w:p>
          <w:p w14:paraId="77DCC982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- в случае не соблюдения Поставщиком условий настоящего договора,</w:t>
            </w:r>
          </w:p>
          <w:p w14:paraId="6C2B7603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- в случае экономической нецелесообразности заготовки отдельных видов вторичного сырья.</w:t>
            </w:r>
          </w:p>
          <w:p w14:paraId="5A5B3F9C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При этом Покупатель в случае досрочного расторжения договора обязан уведомить об этом Поставщика не менее чем за 10 календарных дней.</w:t>
            </w:r>
          </w:p>
          <w:p w14:paraId="79A41A83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6.4. Во всем остальном, что не предусмотрено настоящим договором, стороны руководствуются действующим законодательством Республики Беларусь.</w:t>
            </w:r>
          </w:p>
          <w:p w14:paraId="279A0170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6.5. Финансовые обязательства по данному договору действуют до полного их погашения.</w:t>
            </w:r>
          </w:p>
          <w:p w14:paraId="5A35E440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6.6. Все документы, переданные по факсимильной связи, имеют юридическую силу с обязательным обменом сторонами оригиналами в 30-тидневный срок.</w:t>
            </w:r>
          </w:p>
          <w:p w14:paraId="60825ECA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6.7. Все споры или разногласия, которые могут возникнуть из настоящего договора или в связи с ним, разрешаются сторонами путем переговоров, претензионный порядок обязателен. При не достижении согласия, споры подлежат разрешению в Экономическом суде Брестской области.</w:t>
            </w:r>
          </w:p>
          <w:p w14:paraId="047B48AC" w14:textId="77777777"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6.8. Настоящий договор составлен в 2-х экземплярах, имеющих равную юридическую силу, по одному для каждой из сторон.</w:t>
            </w:r>
          </w:p>
          <w:p w14:paraId="089FA76F" w14:textId="77777777" w:rsidR="00CF0E8F" w:rsidRPr="00E612B5" w:rsidRDefault="00CF0E8F" w:rsidP="00205416">
            <w:pPr>
              <w:pStyle w:val="a3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FE70298" w14:textId="77777777" w:rsidR="00CF0E8F" w:rsidRPr="000176AA" w:rsidRDefault="00CF0E8F" w:rsidP="00205416">
            <w:pPr>
              <w:pStyle w:val="a0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7. Юридические адреса сторон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0E8F" w14:paraId="1274AC37" w14:textId="77777777" w:rsidTr="00205416">
        <w:trPr>
          <w:tblCellSpacing w:w="0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745C" w14:textId="77777777" w:rsidR="00CF0E8F" w:rsidRDefault="00CF0E8F" w:rsidP="00205416">
            <w:pPr>
              <w:pStyle w:val="tname"/>
              <w:contextualSpacing/>
              <w:mirrorIndents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F0E8F" w14:paraId="035324F4" w14:textId="77777777" w:rsidTr="00205416">
        <w:trPr>
          <w:tblCellSpacing w:w="0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75B3" w14:textId="77777777" w:rsidR="00CF0E8F" w:rsidRDefault="00CF0E8F" w:rsidP="00205416">
            <w:pPr>
              <w:pStyle w:val="tname"/>
              <w:contextualSpacing/>
              <w:mirrorIndents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F0E8F" w:rsidRPr="00E612B5" w14:paraId="480A0E12" w14:textId="77777777" w:rsidTr="00205416">
        <w:trPr>
          <w:tblCellSpacing w:w="0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5EB6" w14:textId="77777777"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Поставщик:</w:t>
            </w:r>
          </w:p>
          <w:p w14:paraId="26E73D32" w14:textId="77777777"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CF0E8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235FD0" w14:textId="77777777"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  <w:p w14:paraId="381F6E54" w14:textId="77777777"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  <w:p w14:paraId="28D85619" w14:textId="77777777"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  <w:p w14:paraId="0E6BBECC" w14:textId="77777777"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5683570C" w14:textId="77777777"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07AF5762" w14:textId="77777777"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 xml:space="preserve">   </w:t>
            </w:r>
          </w:p>
          <w:p w14:paraId="6CB7ECEB" w14:textId="77777777" w:rsid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6708D48D" w14:textId="77777777" w:rsid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58CF15B0" w14:textId="77777777" w:rsid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1B7FF36E" w14:textId="77777777"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16AA8B6B" w14:textId="77777777"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 xml:space="preserve">                   _______________ </w:t>
            </w:r>
          </w:p>
          <w:p w14:paraId="27B35426" w14:textId="77777777"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  <w:sz w:val="18"/>
              </w:rPr>
              <w:t>должность                      подпись                 расшифровка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0C33" w14:textId="77777777" w:rsidR="00CF0E8F" w:rsidRPr="00CF0E8F" w:rsidRDefault="00CF0E8F" w:rsidP="00CF0E8F">
            <w:pPr>
              <w:spacing w:after="0"/>
              <w:ind w:left="851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Покупатель:</w:t>
            </w:r>
          </w:p>
          <w:p w14:paraId="6DD0C48F" w14:textId="77777777"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CF0E8F">
              <w:rPr>
                <w:rFonts w:ascii="Times New Roman" w:hAnsi="Times New Roman" w:cs="Times New Roman"/>
                <w:b/>
              </w:rPr>
              <w:t xml:space="preserve">               Торговое унитарное предприятие</w:t>
            </w:r>
          </w:p>
          <w:p w14:paraId="7D119F73" w14:textId="77777777"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CF0E8F">
              <w:rPr>
                <w:rFonts w:ascii="Times New Roman" w:hAnsi="Times New Roman" w:cs="Times New Roman"/>
                <w:b/>
              </w:rPr>
              <w:t xml:space="preserve">               «Брестский рынок»</w:t>
            </w:r>
          </w:p>
          <w:p w14:paraId="281F0892" w14:textId="77777777"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224016, г. Брест, ул. Карбышева, 25</w:t>
            </w:r>
          </w:p>
          <w:p w14:paraId="4998A460" w14:textId="77777777"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 xml:space="preserve">р/с </w:t>
            </w:r>
            <w:r w:rsidRPr="00CF0E8F">
              <w:rPr>
                <w:rFonts w:ascii="Times New Roman" w:hAnsi="Times New Roman" w:cs="Times New Roman"/>
                <w:lang w:val="en-US"/>
              </w:rPr>
              <w:t>BY</w:t>
            </w:r>
            <w:r w:rsidRPr="00CF0E8F">
              <w:rPr>
                <w:rFonts w:ascii="Times New Roman" w:hAnsi="Times New Roman" w:cs="Times New Roman"/>
              </w:rPr>
              <w:t xml:space="preserve"> 34 АКВВ 3012 7004 6307 3100 0000 </w:t>
            </w:r>
          </w:p>
          <w:p w14:paraId="7FE6E0D2" w14:textId="77777777"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в БОУ № 100 ОАО «АСБ Беларусбанк»,</w:t>
            </w:r>
          </w:p>
          <w:p w14:paraId="574BD259" w14:textId="77777777"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БИК АКВВ</w:t>
            </w:r>
            <w:r w:rsidRPr="00CF0E8F">
              <w:rPr>
                <w:rFonts w:ascii="Times New Roman" w:hAnsi="Times New Roman" w:cs="Times New Roman"/>
                <w:lang w:val="en-US"/>
              </w:rPr>
              <w:t>BY</w:t>
            </w:r>
            <w:r w:rsidRPr="00CF0E8F">
              <w:rPr>
                <w:rFonts w:ascii="Times New Roman" w:hAnsi="Times New Roman" w:cs="Times New Roman"/>
              </w:rPr>
              <w:t>2Х</w:t>
            </w:r>
          </w:p>
          <w:p w14:paraId="12D17621" w14:textId="77777777"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УНП 200036219</w:t>
            </w:r>
          </w:p>
          <w:p w14:paraId="08AD82A5" w14:textId="20295D70" w:rsidR="00CF0E8F" w:rsidRPr="00CF0E8F" w:rsidRDefault="006C2B68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 </w:t>
            </w:r>
            <w:r w:rsidR="00CF0E8F" w:rsidRPr="00CF0E8F">
              <w:rPr>
                <w:rFonts w:ascii="Times New Roman" w:hAnsi="Times New Roman" w:cs="Times New Roman"/>
              </w:rPr>
              <w:t>8 (0162) 53 69 05</w:t>
            </w:r>
          </w:p>
          <w:p w14:paraId="6BE21382" w14:textId="77777777"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5B1352B1" w14:textId="77777777"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0F5842DF" w14:textId="77777777"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 xml:space="preserve">           Зам. директора   ________О.А. Уманская</w:t>
            </w:r>
          </w:p>
        </w:tc>
      </w:tr>
    </w:tbl>
    <w:p w14:paraId="44CAB70F" w14:textId="77777777" w:rsidR="000B0208" w:rsidRDefault="000B0208" w:rsidP="00CF0E8F">
      <w:pPr>
        <w:spacing w:after="0"/>
      </w:pPr>
    </w:p>
    <w:sectPr w:rsidR="000B0208" w:rsidSect="00CF0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E8F"/>
    <w:rsid w:val="000B0208"/>
    <w:rsid w:val="006C2B68"/>
    <w:rsid w:val="00C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D1DB"/>
  <w15:docId w15:val="{37F0466B-B8B6-4D6A-9203-662DF20A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E8F"/>
    <w:pPr>
      <w:spacing w:after="0" w:line="240" w:lineRule="auto"/>
      <w:ind w:firstLine="567"/>
    </w:pPr>
    <w:rPr>
      <w:rFonts w:ascii="Gbinfo" w:eastAsia="Times New Roman" w:hAnsi="Gbinfo" w:cs="Times New Roman"/>
      <w:sz w:val="20"/>
      <w:szCs w:val="20"/>
    </w:rPr>
  </w:style>
  <w:style w:type="paragraph" w:customStyle="1" w:styleId="a00">
    <w:name w:val="a0"/>
    <w:basedOn w:val="a"/>
    <w:rsid w:val="00CF0E8F"/>
    <w:pPr>
      <w:spacing w:after="0" w:line="240" w:lineRule="auto"/>
    </w:pPr>
    <w:rPr>
      <w:rFonts w:ascii="Gbinfo" w:eastAsia="Times New Roman" w:hAnsi="Gbinfo" w:cs="Times New Roman"/>
      <w:sz w:val="20"/>
      <w:szCs w:val="20"/>
    </w:rPr>
  </w:style>
  <w:style w:type="paragraph" w:customStyle="1" w:styleId="tname">
    <w:name w:val="tname"/>
    <w:basedOn w:val="a"/>
    <w:rsid w:val="00CF0E8F"/>
    <w:pPr>
      <w:spacing w:after="0" w:line="240" w:lineRule="auto"/>
      <w:jc w:val="center"/>
    </w:pPr>
    <w:rPr>
      <w:rFonts w:ascii="Gbinfo" w:eastAsia="Times New Roman" w:hAnsi="Gbinfo" w:cs="Times New Roman"/>
      <w:b/>
      <w:bCs/>
      <w:color w:val="00008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Мукосей</dc:creator>
  <cp:keywords/>
  <dc:description/>
  <cp:lastModifiedBy>Stadnik Nikolay</cp:lastModifiedBy>
  <cp:revision>3</cp:revision>
  <dcterms:created xsi:type="dcterms:W3CDTF">2021-03-01T05:49:00Z</dcterms:created>
  <dcterms:modified xsi:type="dcterms:W3CDTF">2023-02-02T08:48:00Z</dcterms:modified>
</cp:coreProperties>
</file>