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0" w:type="dxa"/>
        <w:tblInd w:w="-709" w:type="dxa"/>
        <w:tblLook w:val="0000"/>
      </w:tblPr>
      <w:tblGrid>
        <w:gridCol w:w="5387"/>
        <w:gridCol w:w="5103"/>
      </w:tblGrid>
      <w:tr w:rsidR="00CF0E8F" w:rsidRPr="000176AA" w:rsidTr="00205416">
        <w:trPr>
          <w:tblCellSpacing w:w="0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E8F" w:rsidRDefault="00CF0E8F" w:rsidP="00205416">
            <w:pPr>
              <w:pStyle w:val="tname"/>
              <w:contextualSpacing/>
              <w:mirrorIndents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F0E8F" w:rsidRPr="00E612B5" w:rsidRDefault="00CF0E8F" w:rsidP="00CF0E8F">
            <w:pPr>
              <w:pStyle w:val="tname"/>
              <w:contextualSpacing/>
              <w:mirrorIndents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</w:t>
            </w:r>
            <w:r w:rsidRPr="00E612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ДОГОВОР ПОСТАВКИ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</w:t>
            </w:r>
          </w:p>
          <w:p w:rsidR="00CF0E8F" w:rsidRPr="00E612B5" w:rsidRDefault="00CF0E8F" w:rsidP="00205416">
            <w:pPr>
              <w:pStyle w:val="tname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CF0E8F" w:rsidRPr="00E612B5" w:rsidRDefault="00CF0E8F" w:rsidP="00205416">
            <w:pPr>
              <w:pStyle w:val="a0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г. Брест                                                                                                       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01 ЯНВАРЯ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 г.</w:t>
            </w:r>
          </w:p>
          <w:p w:rsidR="00CF0E8F" w:rsidRPr="00E612B5" w:rsidRDefault="00CF0E8F" w:rsidP="00205416">
            <w:pPr>
              <w:pStyle w:val="a00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E8F" w:rsidRPr="00E612B5" w:rsidRDefault="00CF0E8F" w:rsidP="00205416">
            <w:pPr>
              <w:pStyle w:val="a00"/>
              <w:ind w:right="142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2B5">
              <w:rPr>
                <w:sz w:val="24"/>
                <w:szCs w:val="24"/>
              </w:rPr>
              <w:t>именуем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612B5">
              <w:rPr>
                <w:sz w:val="24"/>
                <w:szCs w:val="24"/>
              </w:rPr>
              <w:t xml:space="preserve"> в дальнейшем «</w:t>
            </w:r>
            <w:r w:rsidRPr="00E612B5">
              <w:rPr>
                <w:sz w:val="24"/>
                <w:szCs w:val="24"/>
                <w:shd w:val="clear" w:color="auto" w:fill="FFFFFF"/>
              </w:rPr>
              <w:t>Поставщик</w:t>
            </w:r>
            <w:r>
              <w:rPr>
                <w:sz w:val="24"/>
                <w:szCs w:val="24"/>
              </w:rPr>
              <w:t>», в лице _________________________________________________________________</w:t>
            </w:r>
            <w:r w:rsidRPr="009F39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действующего на основании ________________________________________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с одной стороны и </w:t>
            </w:r>
            <w:r w:rsidRPr="00E612B5">
              <w:rPr>
                <w:rFonts w:ascii="Times New Roman" w:hAnsi="Times New Roman"/>
                <w:b/>
                <w:sz w:val="24"/>
                <w:szCs w:val="24"/>
              </w:rPr>
              <w:t>Торговое унитарное предприятие «Брестский рынок»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, именуемое в дальнейшем «Покупатель», в лице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заместителя 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</w:rPr>
              <w:t>Уманской Ольги Анатольевны, действующей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доверенности № 2 от 04.01.2021 г.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, с другой стороны, заключили настоящий договор о нижеследующем:</w:t>
            </w:r>
          </w:p>
          <w:p w:rsidR="00CF0E8F" w:rsidRPr="00E612B5" w:rsidRDefault="00CF0E8F" w:rsidP="00205416">
            <w:pPr>
              <w:pStyle w:val="a3"/>
              <w:tabs>
                <w:tab w:val="center" w:pos="5528"/>
                <w:tab w:val="left" w:pos="7455"/>
              </w:tabs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12B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0E8F" w:rsidRPr="009438AE" w:rsidRDefault="00CF0E8F" w:rsidP="00CF0E8F">
            <w:pPr>
              <w:pStyle w:val="a3"/>
              <w:ind w:left="567" w:firstLine="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</w:t>
            </w: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Предмет договора</w:t>
            </w:r>
          </w:p>
          <w:p w:rsidR="00CF0E8F" w:rsidRPr="00CF0E8F" w:rsidRDefault="00CF0E8F" w:rsidP="00205416">
            <w:pPr>
              <w:spacing w:line="2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E8F">
              <w:rPr>
                <w:rFonts w:ascii="Times New Roman" w:hAnsi="Times New Roman" w:cs="Times New Roman"/>
              </w:rPr>
              <w:t>1.1. Поставщик обязуется передавать (передать) Покупателю в собственность отходы (вторичное сырье</w:t>
            </w:r>
            <w:r w:rsidRPr="00CF0E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CF0E8F" w:rsidRPr="00F16788" w:rsidRDefault="00CF0E8F" w:rsidP="00205416">
            <w:pPr>
              <w:spacing w:line="280" w:lineRule="atLeas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06"/>
              <w:gridCol w:w="1276"/>
              <w:gridCol w:w="2382"/>
              <w:gridCol w:w="2589"/>
            </w:tblGrid>
            <w:tr w:rsidR="00CF0E8F" w:rsidRPr="00F16788" w:rsidTr="00205416">
              <w:tc>
                <w:tcPr>
                  <w:tcW w:w="4106" w:type="dxa"/>
                </w:tcPr>
                <w:p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отхода</w:t>
                  </w:r>
                </w:p>
              </w:tc>
              <w:tc>
                <w:tcPr>
                  <w:tcW w:w="1276" w:type="dxa"/>
                </w:tcPr>
                <w:p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отхода</w:t>
                  </w:r>
                </w:p>
              </w:tc>
              <w:tc>
                <w:tcPr>
                  <w:tcW w:w="2382" w:type="dxa"/>
                </w:tcPr>
                <w:p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Степень и класс опасности</w:t>
                  </w:r>
                </w:p>
              </w:tc>
              <w:tc>
                <w:tcPr>
                  <w:tcW w:w="2589" w:type="dxa"/>
                </w:tcPr>
                <w:p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Количество, тонн.</w:t>
                  </w:r>
                </w:p>
              </w:tc>
            </w:tr>
            <w:tr w:rsidR="00CF0E8F" w:rsidRPr="00F16788" w:rsidTr="00205416">
              <w:tc>
                <w:tcPr>
                  <w:tcW w:w="4106" w:type="dxa"/>
                </w:tcPr>
                <w:p w:rsidR="00CF0E8F" w:rsidRPr="00CF0E8F" w:rsidRDefault="00CF0E8F" w:rsidP="00CF0E8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F0E8F">
                    <w:rPr>
                      <w:rFonts w:ascii="Times New Roman" w:hAnsi="Times New Roman" w:cs="Times New Roman"/>
                    </w:rPr>
                    <w:t>Отходы бумаги и картона от канцелярской деятельности и делопроизводства</w:t>
                  </w:r>
                </w:p>
              </w:tc>
              <w:tc>
                <w:tcPr>
                  <w:tcW w:w="1276" w:type="dxa"/>
                </w:tcPr>
                <w:p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1870601</w:t>
                  </w:r>
                </w:p>
              </w:tc>
              <w:tc>
                <w:tcPr>
                  <w:tcW w:w="2382" w:type="dxa"/>
                </w:tcPr>
                <w:p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четвертый класс</w:t>
                  </w:r>
                </w:p>
              </w:tc>
              <w:tc>
                <w:tcPr>
                  <w:tcW w:w="2589" w:type="dxa"/>
                </w:tcPr>
                <w:p w:rsidR="00CF0E8F" w:rsidRPr="00CF0E8F" w:rsidRDefault="00CF0E8F" w:rsidP="00CF0E8F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0E8F" w:rsidRPr="00F16788" w:rsidTr="00205416">
              <w:tc>
                <w:tcPr>
                  <w:tcW w:w="4106" w:type="dxa"/>
                </w:tcPr>
                <w:p w:rsidR="00CF0E8F" w:rsidRPr="00CF0E8F" w:rsidRDefault="00CF0E8F" w:rsidP="00CF0E8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F0E8F">
                    <w:rPr>
                      <w:rFonts w:ascii="Times New Roman" w:hAnsi="Times New Roman" w:cs="Times New Roman"/>
                    </w:rPr>
                    <w:t>ПЭТ-бутылки</w:t>
                  </w:r>
                </w:p>
              </w:tc>
              <w:tc>
                <w:tcPr>
                  <w:tcW w:w="1276" w:type="dxa"/>
                </w:tcPr>
                <w:p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5711400</w:t>
                  </w:r>
                </w:p>
              </w:tc>
              <w:tc>
                <w:tcPr>
                  <w:tcW w:w="2382" w:type="dxa"/>
                </w:tcPr>
                <w:p w:rsidR="00CF0E8F" w:rsidRPr="00CF0E8F" w:rsidRDefault="00CF0E8F" w:rsidP="00CF0E8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0E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третий класс</w:t>
                  </w:r>
                </w:p>
              </w:tc>
              <w:tc>
                <w:tcPr>
                  <w:tcW w:w="2589" w:type="dxa"/>
                </w:tcPr>
                <w:p w:rsidR="00CF0E8F" w:rsidRPr="00CF0E8F" w:rsidRDefault="00CF0E8F" w:rsidP="00CF0E8F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F0E8F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1.2. Количество каждой партии указывается в  товарно-транспортной накладной (ТТН-1).</w:t>
            </w:r>
          </w:p>
          <w:p w:rsidR="00CF0E8F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Цель приобретения отхода Покупателем: для подготовки к использованию.</w:t>
            </w:r>
          </w:p>
          <w:p w:rsidR="00CF0E8F" w:rsidRDefault="00CF0E8F" w:rsidP="00205416">
            <w:pPr>
              <w:pStyle w:val="a3"/>
              <w:tabs>
                <w:tab w:val="right" w:pos="10490"/>
              </w:tabs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Места временного хранения опасных отходов: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Брест, ул. Г.Попова.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</w:rPr>
              <w:t>. 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до подготовки отходов будет осуществляться их временное хранение, то по адресу  г. Брест, ул. Г.Попова 9Б, ул. Ковельская, 87, ул. Г.Попова, 8, ул. Морозова,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Комерческая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19, ул. Светлая, 27, ул. Республиканская, 33.</w:t>
            </w:r>
          </w:p>
          <w:p w:rsidR="00CF0E8F" w:rsidRDefault="00CF0E8F" w:rsidP="00205416">
            <w:pPr>
              <w:pStyle w:val="a00"/>
              <w:ind w:left="48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F0E8F" w:rsidRPr="000176AA" w:rsidRDefault="00CF0E8F" w:rsidP="00CF0E8F">
            <w:pPr>
              <w:pStyle w:val="a00"/>
              <w:ind w:left="48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2. </w:t>
            </w: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Качество, маркировка, упаковка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 xml:space="preserve">2.1. Качество вторичного сырья должно соответствовать действующим </w:t>
            </w:r>
            <w:proofErr w:type="spellStart"/>
            <w:r w:rsidRPr="00E612B5">
              <w:rPr>
                <w:rFonts w:ascii="Times New Roman" w:hAnsi="Times New Roman"/>
                <w:sz w:val="24"/>
                <w:szCs w:val="24"/>
              </w:rPr>
              <w:t>ГОСТам</w:t>
            </w:r>
            <w:proofErr w:type="spellEnd"/>
            <w:r w:rsidRPr="00E612B5">
              <w:rPr>
                <w:rFonts w:ascii="Times New Roman" w:hAnsi="Times New Roman"/>
                <w:sz w:val="24"/>
                <w:szCs w:val="24"/>
              </w:rPr>
              <w:t xml:space="preserve"> и (или) техническим условиям,  предусмотренным законодательством Республики Беларусь. Если качество вторичного сырья окажется не соответствующим п. 2.1 договора, Покупатель вправе отказаться от принятия и оплаты вторичного сырья.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2.2. Приемка товара по качеству осуществляется по месту нахождения Покупателя, по количеству производится путем взвешивания по месту нахождения Покупателя. При этом основанием  для приемки вторичного сырья является надлежащим образом оформленная товарно-транспортная накладная.</w:t>
            </w:r>
          </w:p>
          <w:p w:rsidR="00CF0E8F" w:rsidRPr="00F764D7" w:rsidRDefault="00CF0E8F" w:rsidP="00CF0E8F">
            <w:pPr>
              <w:pStyle w:val="a0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3. </w:t>
            </w: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Цены и порядок расчетов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 xml:space="preserve">3.1. Вторичное сырье поставляется и оплачивается по договорным </w:t>
            </w:r>
            <w:proofErr w:type="gramStart"/>
            <w:r w:rsidRPr="00E612B5">
              <w:rPr>
                <w:rFonts w:ascii="Times New Roman" w:hAnsi="Times New Roman"/>
                <w:sz w:val="24"/>
                <w:szCs w:val="24"/>
              </w:rPr>
              <w:t>ценам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действующим на момент поставки партии вторичного сырья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/>
                <w:sz w:val="24"/>
                <w:szCs w:val="24"/>
              </w:rPr>
              <w:t>указываются в спецификациях.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 xml:space="preserve">3.2. Расчеты за каждую партию отгруженного вторичного сырья осуществляются Покупателем платежными поручениями в течение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шестидесяти</w:t>
            </w:r>
            <w:r w:rsidRPr="00E612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календарных дней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 с момента поставки.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3.3. Стороны, подписавшие настоящий договор, допускают возможность иных форм расчетов, не противоречащих действующему законодательству.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F0E8F" w:rsidRDefault="00CF0E8F" w:rsidP="00205416">
            <w:pPr>
              <w:pStyle w:val="a0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4. Порядок и сроки поставки и транспортировки</w:t>
            </w:r>
          </w:p>
          <w:p w:rsidR="00CF0E8F" w:rsidRPr="000176AA" w:rsidRDefault="00CF0E8F" w:rsidP="00205416">
            <w:pPr>
              <w:pStyle w:val="a0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4.1. Поставка вторичного сырья производится партиями, объем которых указывается в соответствующих накладных.</w:t>
            </w:r>
          </w:p>
          <w:p w:rsidR="00CF0E8F" w:rsidRDefault="00CF0E8F" w:rsidP="00CF0E8F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4.2. Поставка вторичного сырья осуществляется тран</w:t>
            </w:r>
            <w:r>
              <w:rPr>
                <w:rFonts w:ascii="Times New Roman" w:hAnsi="Times New Roman"/>
                <w:sz w:val="24"/>
                <w:szCs w:val="24"/>
              </w:rPr>
              <w:t>спортом Поставщика за его счет.</w:t>
            </w:r>
          </w:p>
          <w:p w:rsidR="00CF0E8F" w:rsidRPr="00CB02C5" w:rsidRDefault="00CF0E8F" w:rsidP="00CF0E8F">
            <w:pPr>
              <w:pStyle w:val="a3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 Форс-мажорные обстоятельства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5.1. Стороны освобождаются от ответственности за частичное или полное неисполнение условий договора, если оно произошло по обстоятельствам непреодолимой силы, которые сторона не могла предвидеть или предотвратить.</w:t>
            </w:r>
          </w:p>
          <w:p w:rsidR="00CF0E8F" w:rsidRPr="00E612B5" w:rsidRDefault="00CF0E8F" w:rsidP="00205416">
            <w:pPr>
              <w:pStyle w:val="a3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Сторона, ссылающаяся на такие обстоятельства, обязана информировать другую сторону не позднее 5 дней с момента их наступления.</w:t>
            </w:r>
          </w:p>
          <w:p w:rsidR="00CF0E8F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 xml:space="preserve">5.2. При возникновении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</w:t>
            </w:r>
          </w:p>
          <w:p w:rsidR="00CF0E8F" w:rsidRPr="00E612B5" w:rsidRDefault="00CF0E8F" w:rsidP="00205416">
            <w:pPr>
              <w:pStyle w:val="a3"/>
              <w:tabs>
                <w:tab w:val="left" w:pos="3810"/>
              </w:tabs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0E8F" w:rsidRPr="000176AA" w:rsidRDefault="00CF0E8F" w:rsidP="00CF0E8F">
            <w:pPr>
              <w:pStyle w:val="a00"/>
              <w:contextualSpacing/>
              <w:mirrorIndents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6. Срок действия договора, расторжение договора, рассмотрение споров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 xml:space="preserve">6.1.  Настоящий договор вступает в силу с момента подписания сторонами и действует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о 31 декабря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6.2. Изменение условий договора возможно только по соглашению сторон.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6.3. Расторжение договора в одностороннем порядке допускается в следующих случаях: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- в случае не соблюдения Поставщиком условий настоящего договора,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- в случае экономической нецелесообразности заготовки отдельных видов вторичного сырья.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При этом Покупатель в случае досрочного расторжения договора обязан уведомить об этом Поставщика не менее чем за 10 календарных дней.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6.4. Во всем остальном, что не предусмотрено настоящим договором, стороны руководствуются действующим законодательством Республики Беларусь.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6.5. Финансовые обязательства по данному договору действуют до полного их погашения.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6.6. Все документы, переданные по факсимильной связи, имеют юридическую силу с обязательным обменом сторонами оригиналами в 30-тидневный срок.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6.7. Все споры или разногласия, которые могут возникнуть из настоящего договора или в связи с ним, разрешаются сторонами путем переговоров, претензионный порядок обязателен. При не достижении согласия, споры подлежат разрешению в Экономическом суде Брестской области.</w:t>
            </w:r>
          </w:p>
          <w:p w:rsidR="00CF0E8F" w:rsidRPr="00E612B5" w:rsidRDefault="00CF0E8F" w:rsidP="00205416">
            <w:pPr>
              <w:pStyle w:val="a3"/>
              <w:ind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6.8. Настоящий договор составлен в 2-х экземплярах, имеющих равную юридическую силу, по одному для каждой из сторон.</w:t>
            </w:r>
          </w:p>
          <w:p w:rsidR="00CF0E8F" w:rsidRPr="00E612B5" w:rsidRDefault="00CF0E8F" w:rsidP="00205416">
            <w:pPr>
              <w:pStyle w:val="a3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2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F0E8F" w:rsidRPr="000176AA" w:rsidRDefault="00CF0E8F" w:rsidP="00205416">
            <w:pPr>
              <w:pStyle w:val="a0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2B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7. Юридические адреса сторон</w:t>
            </w:r>
            <w:r w:rsidRPr="00E612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F0E8F" w:rsidTr="00205416">
        <w:trPr>
          <w:tblCellSpacing w:w="0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E8F" w:rsidRDefault="00CF0E8F" w:rsidP="00205416">
            <w:pPr>
              <w:pStyle w:val="tname"/>
              <w:contextualSpacing/>
              <w:mirrorIndents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F0E8F" w:rsidTr="00205416">
        <w:trPr>
          <w:tblCellSpacing w:w="0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E8F" w:rsidRDefault="00CF0E8F" w:rsidP="00205416">
            <w:pPr>
              <w:pStyle w:val="tname"/>
              <w:contextualSpacing/>
              <w:mirrorIndents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F0E8F" w:rsidRPr="00E612B5" w:rsidTr="00205416">
        <w:trPr>
          <w:tblCellSpacing w:w="0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Поставщик:</w:t>
            </w:r>
          </w:p>
          <w:p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CF0E8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  <w:p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  <w:p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  <w:p w:rsidR="00CF0E8F" w:rsidRPr="00CF0E8F" w:rsidRDefault="00CF0E8F" w:rsidP="00CF0E8F">
            <w:pPr>
              <w:spacing w:after="0"/>
              <w:ind w:right="-331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 xml:space="preserve">   </w:t>
            </w:r>
          </w:p>
          <w:p w:rsid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 xml:space="preserve">                   _______________ </w:t>
            </w:r>
          </w:p>
          <w:p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  <w:sz w:val="18"/>
              </w:rPr>
              <w:t>должность                      подпись                 расшифровка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0E8F" w:rsidRPr="00CF0E8F" w:rsidRDefault="00CF0E8F" w:rsidP="00CF0E8F">
            <w:pPr>
              <w:spacing w:after="0"/>
              <w:ind w:left="851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Покупатель:</w:t>
            </w:r>
          </w:p>
          <w:p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CF0E8F">
              <w:rPr>
                <w:rFonts w:ascii="Times New Roman" w:hAnsi="Times New Roman" w:cs="Times New Roman"/>
                <w:b/>
              </w:rPr>
              <w:t xml:space="preserve">               Торговое унитарное предприятие</w:t>
            </w:r>
          </w:p>
          <w:p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CF0E8F">
              <w:rPr>
                <w:rFonts w:ascii="Times New Roman" w:hAnsi="Times New Roman" w:cs="Times New Roman"/>
                <w:b/>
              </w:rPr>
              <w:t xml:space="preserve">               «Брестский рынок»</w:t>
            </w:r>
          </w:p>
          <w:p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 xml:space="preserve">224016, г. Брест, ул. </w:t>
            </w:r>
            <w:proofErr w:type="spellStart"/>
            <w:r w:rsidRPr="00CF0E8F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CF0E8F">
              <w:rPr>
                <w:rFonts w:ascii="Times New Roman" w:hAnsi="Times New Roman" w:cs="Times New Roman"/>
              </w:rPr>
              <w:t>, 25</w:t>
            </w:r>
          </w:p>
          <w:p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0E8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F0E8F">
              <w:rPr>
                <w:rFonts w:ascii="Times New Roman" w:hAnsi="Times New Roman" w:cs="Times New Roman"/>
              </w:rPr>
              <w:t xml:space="preserve">/с </w:t>
            </w:r>
            <w:r w:rsidRPr="00CF0E8F">
              <w:rPr>
                <w:rFonts w:ascii="Times New Roman" w:hAnsi="Times New Roman" w:cs="Times New Roman"/>
                <w:lang w:val="en-US"/>
              </w:rPr>
              <w:t>BY</w:t>
            </w:r>
            <w:r w:rsidRPr="00CF0E8F">
              <w:rPr>
                <w:rFonts w:ascii="Times New Roman" w:hAnsi="Times New Roman" w:cs="Times New Roman"/>
              </w:rPr>
              <w:t xml:space="preserve"> 34 АКВВ 3012 7004 6307 3100 0000 </w:t>
            </w:r>
          </w:p>
          <w:p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 xml:space="preserve">в БОУ № 100 ОАО «АСБ </w:t>
            </w:r>
            <w:proofErr w:type="spellStart"/>
            <w:r w:rsidRPr="00CF0E8F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CF0E8F">
              <w:rPr>
                <w:rFonts w:ascii="Times New Roman" w:hAnsi="Times New Roman" w:cs="Times New Roman"/>
              </w:rPr>
              <w:t>»,</w:t>
            </w:r>
          </w:p>
          <w:p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БИК АКВВ</w:t>
            </w:r>
            <w:r w:rsidRPr="00CF0E8F">
              <w:rPr>
                <w:rFonts w:ascii="Times New Roman" w:hAnsi="Times New Roman" w:cs="Times New Roman"/>
                <w:lang w:val="en-US"/>
              </w:rPr>
              <w:t>BY</w:t>
            </w:r>
            <w:r w:rsidRPr="00CF0E8F">
              <w:rPr>
                <w:rFonts w:ascii="Times New Roman" w:hAnsi="Times New Roman" w:cs="Times New Roman"/>
              </w:rPr>
              <w:t>2Х</w:t>
            </w:r>
          </w:p>
          <w:p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УНП 200036219</w:t>
            </w:r>
          </w:p>
          <w:p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тел. 8 (0162) 43 03 92, 53 69 05 – факс.</w:t>
            </w:r>
          </w:p>
          <w:p w:rsidR="00CF0E8F" w:rsidRPr="00CF0E8F" w:rsidRDefault="00CF0E8F" w:rsidP="00CF0E8F">
            <w:pPr>
              <w:spacing w:after="0"/>
              <w:ind w:left="972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>тел.  8029 222 34 27</w:t>
            </w:r>
          </w:p>
          <w:p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CF0E8F" w:rsidRPr="00CF0E8F" w:rsidRDefault="00CF0E8F" w:rsidP="00CF0E8F">
            <w:pPr>
              <w:spacing w:after="0"/>
              <w:contextualSpacing/>
              <w:mirrorIndents/>
              <w:rPr>
                <w:rFonts w:ascii="Times New Roman" w:hAnsi="Times New Roman" w:cs="Times New Roman"/>
              </w:rPr>
            </w:pPr>
            <w:r w:rsidRPr="00CF0E8F">
              <w:rPr>
                <w:rFonts w:ascii="Times New Roman" w:hAnsi="Times New Roman" w:cs="Times New Roman"/>
              </w:rPr>
              <w:t xml:space="preserve">           Зам. директора   ________О.А. Уманская</w:t>
            </w:r>
          </w:p>
        </w:tc>
      </w:tr>
    </w:tbl>
    <w:p w:rsidR="000B0208" w:rsidRDefault="000B0208" w:rsidP="00CF0E8F">
      <w:pPr>
        <w:spacing w:after="0"/>
      </w:pPr>
    </w:p>
    <w:sectPr w:rsidR="000B0208" w:rsidSect="00CF0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E8F"/>
    <w:rsid w:val="000B0208"/>
    <w:rsid w:val="00C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E8F"/>
    <w:pPr>
      <w:spacing w:after="0" w:line="240" w:lineRule="auto"/>
      <w:ind w:firstLine="567"/>
    </w:pPr>
    <w:rPr>
      <w:rFonts w:ascii="Gbinfo" w:eastAsia="Times New Roman" w:hAnsi="Gbinfo" w:cs="Times New Roman"/>
      <w:sz w:val="20"/>
      <w:szCs w:val="20"/>
    </w:rPr>
  </w:style>
  <w:style w:type="paragraph" w:customStyle="1" w:styleId="a00">
    <w:name w:val="a0"/>
    <w:basedOn w:val="a"/>
    <w:rsid w:val="00CF0E8F"/>
    <w:pPr>
      <w:spacing w:after="0" w:line="240" w:lineRule="auto"/>
    </w:pPr>
    <w:rPr>
      <w:rFonts w:ascii="Gbinfo" w:eastAsia="Times New Roman" w:hAnsi="Gbinfo" w:cs="Times New Roman"/>
      <w:sz w:val="20"/>
      <w:szCs w:val="20"/>
    </w:rPr>
  </w:style>
  <w:style w:type="paragraph" w:customStyle="1" w:styleId="tname">
    <w:name w:val="tname"/>
    <w:basedOn w:val="a"/>
    <w:rsid w:val="00CF0E8F"/>
    <w:pPr>
      <w:spacing w:after="0" w:line="240" w:lineRule="auto"/>
      <w:jc w:val="center"/>
    </w:pPr>
    <w:rPr>
      <w:rFonts w:ascii="Gbinfo" w:eastAsia="Times New Roman" w:hAnsi="Gbinfo" w:cs="Times New Roman"/>
      <w:b/>
      <w:bCs/>
      <w:color w:val="00008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Мукосей</dc:creator>
  <cp:keywords/>
  <dc:description/>
  <cp:lastModifiedBy>Татьяна Владимировна Мукосей</cp:lastModifiedBy>
  <cp:revision>2</cp:revision>
  <dcterms:created xsi:type="dcterms:W3CDTF">2021-03-01T05:49:00Z</dcterms:created>
  <dcterms:modified xsi:type="dcterms:W3CDTF">2021-03-01T05:52:00Z</dcterms:modified>
</cp:coreProperties>
</file>